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7B" w:rsidRPr="0002527B" w:rsidRDefault="0002527B" w:rsidP="0002527B">
      <w:pPr>
        <w:shd w:val="clear" w:color="auto" w:fill="FFFFFF"/>
        <w:spacing w:after="180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D70000"/>
          <w:kern w:val="36"/>
          <w:sz w:val="33"/>
          <w:szCs w:val="33"/>
        </w:rPr>
      </w:pPr>
      <w:r w:rsidRPr="0002527B">
        <w:rPr>
          <w:rFonts w:ascii="Arial" w:eastAsia="Times New Roman" w:hAnsi="Arial" w:cs="Arial"/>
          <w:b/>
          <w:bCs/>
          <w:color w:val="D70000"/>
          <w:kern w:val="36"/>
          <w:sz w:val="33"/>
          <w:szCs w:val="33"/>
        </w:rPr>
        <w:t>В Челябинской области откорректировали «дорожную карту» по содействию развитию конкуренции</w:t>
      </w:r>
    </w:p>
    <w:p w:rsidR="00000000" w:rsidRDefault="0002527B"/>
    <w:p w:rsidR="0002527B" w:rsidRDefault="0002527B" w:rsidP="0002527B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В Челябинской области утверждена скорректированная «дорожная карта» на 2018 год на первом в этом году заседании совета по содействию развитию конкуренции в регионе</w:t>
      </w:r>
    </w:p>
    <w:p w:rsidR="0002527B" w:rsidRDefault="0002527B" w:rsidP="0002527B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Принято решение о расширении перечня приоритетных рынков. Ранее в перечне находились жилищное строительство, производство мяса, туристические услуги и производство наукоемкой высокотехнологической продукции. Теперь включены производство сельскохозяйственных машин и оборудования, информационные технологии и разработка программного обеспечения, выращивание овощей закрытого грунта и рыбоводство.</w:t>
      </w:r>
    </w:p>
    <w:p w:rsidR="0002527B" w:rsidRDefault="0002527B" w:rsidP="0002527B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Как отметил губернатор Борис Дубровский, в прошедшем году область выполнила в полном объеме региона все требования, предусмотренные стандартом развития конкуренции в субъектах РФ. Стандарт является частью национального рейтинга состояния инвестиционного климата регионов России. Его внедрение направлено на улучшение условий ведения бизнеса, снижение административных барьеров.</w:t>
      </w:r>
    </w:p>
    <w:p w:rsidR="0002527B" w:rsidRDefault="0002527B" w:rsidP="0002527B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«Весь прошлый год мы посвятили масштабной перезагрузке системы поддержки малого и среднего предпринимательства. Создан широкий спектр инструментов финансовой и нефинансовой поддержки, открыт МФЦ «Территория бизнеса». Теперь важно получить обратную связь и понять, насколько наши шаги способствуют развитию конкуренции и снятию административных барьеров», – подчеркнул Борис Дубровский.</w:t>
      </w:r>
    </w:p>
    <w:p w:rsidR="0002527B" w:rsidRDefault="0002527B" w:rsidP="0002527B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В этом году планируется усилить работу по развитию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конкуренции</w:t>
      </w:r>
      <w:proofErr w:type="gramEnd"/>
      <w:r>
        <w:rPr>
          <w:rFonts w:ascii="Arial" w:hAnsi="Arial" w:cs="Arial"/>
          <w:color w:val="303030"/>
          <w:sz w:val="21"/>
          <w:szCs w:val="21"/>
        </w:rPr>
        <w:t xml:space="preserve"> как на уровне региона, так и в каждом отдельном муниципалитете. «На это нас ориентирует и новый национальный план развития конкуренции в Российской Федерации на 2018-2020 годы, утвержденный в декабре Указом Президента.</w:t>
      </w:r>
    </w:p>
    <w:p w:rsidR="0002527B" w:rsidRDefault="0002527B" w:rsidP="0002527B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Челябинская область заняла 14 место среди субъектов РФ в рейтинге глав регионов по уровню содействия развитию конкуренции. За 2016 год показатель «Уровень содействия развитию конкуренции» составил 87,87%, по итогам 2015 года – 75,57%.</w:t>
      </w:r>
    </w:p>
    <w:p w:rsidR="0002527B" w:rsidRDefault="0002527B"/>
    <w:sectPr w:rsidR="0002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27B"/>
    <w:rsid w:val="0002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2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2018-02-27T12:17:00Z</dcterms:created>
  <dcterms:modified xsi:type="dcterms:W3CDTF">2018-02-27T12:18:00Z</dcterms:modified>
</cp:coreProperties>
</file>